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1E06" w14:textId="5FCC42CC" w:rsidR="00DF508B" w:rsidRDefault="00087A85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Abstract title in Times New Roman 16 bold</w:t>
      </w:r>
    </w:p>
    <w:p w14:paraId="7BE19455" w14:textId="77777777" w:rsidR="00DF508B" w:rsidRDefault="00DF508B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</w:p>
    <w:p w14:paraId="18047E03" w14:textId="7550479D" w:rsidR="00DF508B" w:rsidRDefault="00087A85">
      <w:pPr>
        <w:pStyle w:val="HTMLPreformatted"/>
        <w:jc w:val="center"/>
        <w:rPr>
          <w:rFonts w:ascii="Times New Roman" w:hAnsi="Times New Roman" w:cs="Times New Roman" w:hint="eastAsia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A.B. Author</w:t>
      </w:r>
      <w:r w:rsidR="00DF508B">
        <w:rPr>
          <w:rFonts w:ascii="Times New Roman" w:hAnsi="Times New Roman" w:cs="Times New Roman"/>
          <w:sz w:val="24"/>
        </w:rPr>
        <w:t>, C.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Coauthor,…</w:t>
      </w:r>
      <w:proofErr w:type="gramEnd"/>
      <w:r w:rsidR="00DF508B">
        <w:rPr>
          <w:rFonts w:ascii="Times New Roman" w:hAnsi="Times New Roman" w:cs="Times New Roman"/>
          <w:sz w:val="24"/>
        </w:rPr>
        <w:t xml:space="preserve"> </w:t>
      </w:r>
    </w:p>
    <w:p w14:paraId="7F62F9C0" w14:textId="77777777" w:rsidR="0071256A" w:rsidRDefault="0071256A">
      <w:pPr>
        <w:pStyle w:val="HTMLPreformatted"/>
        <w:jc w:val="center"/>
        <w:rPr>
          <w:rFonts w:ascii="Times New Roman" w:hAnsi="Times New Roman" w:cs="Times New Roman" w:hint="eastAsia"/>
          <w:sz w:val="24"/>
          <w:lang w:eastAsia="zh-TW"/>
        </w:rPr>
      </w:pPr>
    </w:p>
    <w:p w14:paraId="13143197" w14:textId="3CC5A0B7" w:rsidR="00DF508B" w:rsidRDefault="00087A85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Affiliation in Times New Roman 12 Italic</w:t>
      </w:r>
    </w:p>
    <w:p w14:paraId="08BF24A2" w14:textId="77777777" w:rsidR="00DF508B" w:rsidRDefault="00DF508B">
      <w:pPr>
        <w:jc w:val="both"/>
      </w:pPr>
    </w:p>
    <w:p w14:paraId="32FBEA26" w14:textId="0F12D85B" w:rsidR="00D26CFE" w:rsidRPr="001D5802" w:rsidRDefault="001D5802" w:rsidP="0070163E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Abstract text, Author names and References in Times New Roman 12</w:t>
      </w:r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r w:rsidR="00DF508B">
        <w:rPr>
          <w:rFonts w:ascii="Times New Roman" w:hAnsi="Times New Roman" w:cs="Times New Roman"/>
          <w:sz w:val="24"/>
        </w:rPr>
        <w:t>[1]</w:t>
      </w:r>
      <w:r w:rsidR="00D26CFE">
        <w:rPr>
          <w:rFonts w:ascii="Times New Roman" w:hAnsi="Times New Roman" w:cs="Times New Roman"/>
          <w:sz w:val="24"/>
        </w:rPr>
        <w:t xml:space="preserve">. </w:t>
      </w:r>
      <w:r w:rsidRPr="001D5802">
        <w:rPr>
          <w:rFonts w:ascii="Times New Roman" w:hAnsi="Times New Roman" w:cs="Times New Roman"/>
          <w:sz w:val="24"/>
        </w:rPr>
        <w:t xml:space="preserve">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F508B">
        <w:rPr>
          <w:rFonts w:ascii="Times New Roman" w:hAnsi="Times New Roman" w:cs="Times New Roman"/>
          <w:sz w:val="24"/>
        </w:rPr>
        <w:t xml:space="preserve">[2]. </w:t>
      </w:r>
      <w:r w:rsidRPr="001D5802">
        <w:rPr>
          <w:rFonts w:ascii="Times New Roman" w:hAnsi="Times New Roman" w:cs="Times New Roman"/>
          <w:sz w:val="24"/>
        </w:rPr>
        <w:t xml:space="preserve">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="00D26CFE">
        <w:rPr>
          <w:rFonts w:ascii="Times New Roman" w:hAnsi="Times New Roman" w:cs="Times New Roman"/>
          <w:sz w:val="24"/>
        </w:rPr>
        <w:t xml:space="preserve"> </w:t>
      </w:r>
      <w:r w:rsidR="00DF508B">
        <w:rPr>
          <w:rFonts w:ascii="Times New Roman" w:hAnsi="Times New Roman" w:cs="Times New Roman"/>
          <w:sz w:val="24"/>
        </w:rPr>
        <w:t xml:space="preserve">(fig.1). </w:t>
      </w:r>
      <w:r w:rsidRPr="001D5802">
        <w:rPr>
          <w:rFonts w:ascii="Times New Roman" w:hAnsi="Times New Roman" w:cs="Times New Roman"/>
          <w:sz w:val="24"/>
        </w:rPr>
        <w:t xml:space="preserve">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</w:t>
      </w:r>
      <w:r>
        <w:rPr>
          <w:rFonts w:ascii="Times New Roman" w:hAnsi="Times New Roman" w:cs="Times New Roman"/>
          <w:sz w:val="24"/>
        </w:rPr>
        <w:t xml:space="preserve">[3] </w:t>
      </w:r>
      <w:r w:rsidRPr="001D5802">
        <w:rPr>
          <w:rFonts w:ascii="Times New Roman" w:hAnsi="Times New Roman" w:cs="Times New Roman"/>
          <w:sz w:val="24"/>
        </w:rPr>
        <w:t xml:space="preserve">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r w:rsidR="00DF508B">
        <w:rPr>
          <w:rFonts w:ascii="Times New Roman" w:hAnsi="Times New Roman" w:cs="Times New Roman"/>
          <w:sz w:val="24"/>
        </w:rPr>
        <w:t xml:space="preserve">[4].  </w:t>
      </w:r>
      <w:r w:rsidRPr="001D5802">
        <w:rPr>
          <w:rFonts w:ascii="Times New Roman" w:hAnsi="Times New Roman" w:cs="Times New Roman"/>
          <w:sz w:val="24"/>
        </w:rPr>
        <w:t xml:space="preserve">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r w:rsidR="00DF508B">
        <w:rPr>
          <w:rFonts w:ascii="Times New Roman" w:hAnsi="Times New Roman" w:cs="Times New Roman"/>
          <w:sz w:val="24"/>
        </w:rPr>
        <w:t xml:space="preserve">[5]. </w:t>
      </w:r>
      <w:r w:rsidRPr="001D5802">
        <w:rPr>
          <w:rFonts w:ascii="Times New Roman" w:hAnsi="Times New Roman" w:cs="Times New Roman"/>
          <w:sz w:val="24"/>
        </w:rPr>
        <w:t xml:space="preserve">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. Lorem ipsum </w:t>
      </w:r>
      <w:r>
        <w:rPr>
          <w:rFonts w:ascii="Times New Roman" w:hAnsi="Times New Roman" w:cs="Times New Roman"/>
          <w:sz w:val="24"/>
        </w:rPr>
        <w:t xml:space="preserve">[6] </w:t>
      </w:r>
      <w:proofErr w:type="spellStart"/>
      <w:r w:rsidRPr="001D5802">
        <w:rPr>
          <w:rFonts w:ascii="Times New Roman" w:hAnsi="Times New Roman" w:cs="Times New Roman"/>
          <w:sz w:val="24"/>
        </w:rPr>
        <w:t>dolor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5802">
        <w:rPr>
          <w:rFonts w:ascii="Times New Roman" w:hAnsi="Times New Roman" w:cs="Times New Roman"/>
          <w:sz w:val="24"/>
        </w:rPr>
        <w:t>sit</w:t>
      </w:r>
      <w:proofErr w:type="gram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amet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5802">
        <w:rPr>
          <w:rFonts w:ascii="Times New Roman" w:hAnsi="Times New Roman" w:cs="Times New Roman"/>
          <w:sz w:val="24"/>
        </w:rPr>
        <w:t>consectetur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adipiscing</w:t>
      </w:r>
      <w:proofErr w:type="spellEnd"/>
      <w:r w:rsidRPr="001D5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5802">
        <w:rPr>
          <w:rFonts w:ascii="Times New Roman" w:hAnsi="Times New Roman" w:cs="Times New Roman"/>
          <w:sz w:val="24"/>
        </w:rPr>
        <w:t>elit</w:t>
      </w:r>
      <w:proofErr w:type="spellEnd"/>
      <w:r w:rsidRPr="001D5802">
        <w:rPr>
          <w:rFonts w:ascii="Times New Roman" w:hAnsi="Times New Roman" w:cs="Times New Roman"/>
          <w:sz w:val="24"/>
        </w:rPr>
        <w:t>.</w:t>
      </w:r>
      <w:r w:rsidR="00D26CFE" w:rsidRPr="001D5802">
        <w:rPr>
          <w:rFonts w:ascii="Times New Roman" w:hAnsi="Times New Roman" w:cs="Times New Roman"/>
          <w:sz w:val="24"/>
        </w:rPr>
        <w:t xml:space="preserve"> </w:t>
      </w:r>
    </w:p>
    <w:p w14:paraId="24BF6CB2" w14:textId="77777777" w:rsidR="00D26CFE" w:rsidRDefault="00D26CFE" w:rsidP="0070163E">
      <w:pPr>
        <w:pStyle w:val="HTMLPreformatted"/>
        <w:tabs>
          <w:tab w:val="left" w:pos="4374"/>
        </w:tabs>
        <w:jc w:val="both"/>
      </w:pPr>
    </w:p>
    <w:p w14:paraId="02F16456" w14:textId="0FB5CAF8" w:rsidR="00D26CFE" w:rsidRDefault="00D26CFE" w:rsidP="00D26CFE">
      <w:pPr>
        <w:pStyle w:val="Caption"/>
        <w:jc w:val="center"/>
        <w:rPr>
          <w:sz w:val="22"/>
          <w:szCs w:val="22"/>
        </w:rPr>
      </w:pPr>
      <w:r>
        <w:pict w14:anchorId="0531C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1" type="#_x0000_t75" style="width:160pt;height:126.5pt">
            <v:imagedata r:id="rId7" o:title="ŕ" gain="79922f"/>
          </v:shape>
        </w:pict>
      </w:r>
    </w:p>
    <w:p w14:paraId="4E958B41" w14:textId="2D27D02C" w:rsidR="00DF508B" w:rsidRDefault="00D26CFE" w:rsidP="00D26CFE">
      <w:pPr>
        <w:pStyle w:val="Caption"/>
        <w:jc w:val="center"/>
        <w:rPr>
          <w:sz w:val="24"/>
        </w:rPr>
      </w:pPr>
      <w:r w:rsidRPr="00D26CFE">
        <w:rPr>
          <w:sz w:val="22"/>
          <w:szCs w:val="22"/>
        </w:rPr>
        <w:t xml:space="preserve">Fig. </w:t>
      </w:r>
      <w:r w:rsidRPr="00D26CFE">
        <w:rPr>
          <w:sz w:val="22"/>
          <w:szCs w:val="22"/>
        </w:rPr>
        <w:fldChar w:fldCharType="begin"/>
      </w:r>
      <w:r w:rsidRPr="00D26CFE">
        <w:rPr>
          <w:sz w:val="22"/>
          <w:szCs w:val="22"/>
        </w:rPr>
        <w:instrText xml:space="preserve"> SEQ Fig. \* ARABIC </w:instrText>
      </w:r>
      <w:r w:rsidRPr="00D26CFE">
        <w:rPr>
          <w:sz w:val="22"/>
          <w:szCs w:val="22"/>
        </w:rPr>
        <w:fldChar w:fldCharType="separate"/>
      </w:r>
      <w:r w:rsidRPr="00D26CFE">
        <w:rPr>
          <w:noProof/>
          <w:sz w:val="22"/>
          <w:szCs w:val="22"/>
        </w:rPr>
        <w:t>1</w:t>
      </w:r>
      <w:r w:rsidRPr="00D26CFE">
        <w:rPr>
          <w:sz w:val="22"/>
          <w:szCs w:val="22"/>
        </w:rPr>
        <w:fldChar w:fldCharType="end"/>
      </w:r>
      <w:r w:rsidRPr="00D26CFE">
        <w:rPr>
          <w:sz w:val="22"/>
          <w:szCs w:val="22"/>
        </w:rPr>
        <w:t>:</w:t>
      </w:r>
      <w:r w:rsidRPr="00D26CFE">
        <w:rPr>
          <w:b w:val="0"/>
          <w:bCs w:val="0"/>
          <w:sz w:val="22"/>
          <w:szCs w:val="22"/>
        </w:rPr>
        <w:t xml:space="preserve"> Figure caption in times new roman 11</w:t>
      </w:r>
    </w:p>
    <w:p w14:paraId="5A0C1A59" w14:textId="06B4AD52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</w:p>
    <w:p w14:paraId="1D5BAB17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</w:p>
    <w:p w14:paraId="60BF5444" w14:textId="6B6A033F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</w:p>
    <w:p w14:paraId="63BA819B" w14:textId="111C8F65" w:rsidR="00DF508B" w:rsidRDefault="00D26CFE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DF508B">
        <w:rPr>
          <w:rFonts w:ascii="Times New Roman" w:hAnsi="Times New Roman" w:cs="Times New Roman"/>
          <w:sz w:val="24"/>
        </w:rPr>
        <w:t>eferences</w:t>
      </w:r>
    </w:p>
    <w:p w14:paraId="050AF0ED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C.R. Clemmer, T.P. Beebe Jr., </w:t>
      </w:r>
      <w:r>
        <w:rPr>
          <w:rFonts w:ascii="Times New Roman" w:hAnsi="Times New Roman" w:cs="Times New Roman"/>
          <w:i/>
          <w:iCs/>
          <w:sz w:val="24"/>
        </w:rPr>
        <w:t>Science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251 </w:t>
      </w:r>
      <w:r>
        <w:rPr>
          <w:rFonts w:ascii="Times New Roman" w:hAnsi="Times New Roman" w:cs="Times New Roman"/>
          <w:sz w:val="24"/>
        </w:rPr>
        <w:t>(1991) 640</w:t>
      </w:r>
    </w:p>
    <w:p w14:paraId="0FC970DE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[2] J. </w:t>
      </w:r>
      <w:proofErr w:type="spellStart"/>
      <w:r>
        <w:rPr>
          <w:rFonts w:ascii="Times New Roman" w:hAnsi="Times New Roman" w:cs="Times New Roman"/>
          <w:sz w:val="24"/>
        </w:rPr>
        <w:t>Xhie</w:t>
      </w:r>
      <w:proofErr w:type="spellEnd"/>
      <w:r>
        <w:rPr>
          <w:rFonts w:ascii="Times New Roman" w:hAnsi="Times New Roman" w:cs="Times New Roman"/>
          <w:sz w:val="24"/>
        </w:rPr>
        <w:t xml:space="preserve">, K. Sattler, M. Ge, N. Venkateswaran, </w:t>
      </w:r>
      <w:r>
        <w:rPr>
          <w:rFonts w:ascii="Times New Roman" w:hAnsi="Times New Roman" w:cs="Times New Roman"/>
          <w:i/>
          <w:iCs/>
          <w:sz w:val="24"/>
        </w:rPr>
        <w:t>Phys. Rev. 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47</w:t>
      </w:r>
      <w:r>
        <w:rPr>
          <w:rFonts w:ascii="Times New Roman" w:hAnsi="Times New Roman" w:cs="Times New Roman"/>
          <w:sz w:val="24"/>
        </w:rPr>
        <w:t xml:space="preserve"> (1993) 15835</w:t>
      </w:r>
    </w:p>
    <w:p w14:paraId="3DFBB40A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[3] R. Hentschke, B. Schurmann, J. Rabe, </w:t>
      </w:r>
      <w:r>
        <w:rPr>
          <w:rFonts w:ascii="Times New Roman" w:hAnsi="Times New Roman" w:cs="Times New Roman"/>
          <w:i/>
          <w:sz w:val="24"/>
        </w:rPr>
        <w:t>J. Chem. Phys.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96</w:t>
      </w:r>
      <w:r>
        <w:rPr>
          <w:rFonts w:ascii="Times New Roman" w:hAnsi="Times New Roman" w:cs="Times New Roman"/>
          <w:sz w:val="24"/>
        </w:rPr>
        <w:t xml:space="preserve"> (1992) 6213</w:t>
      </w:r>
    </w:p>
    <w:p w14:paraId="7C36B0BB" w14:textId="77777777" w:rsidR="00DF508B" w:rsidRDefault="00DF508B" w:rsidP="00863A56">
      <w:pPr>
        <w:pStyle w:val="HTMLPreformatted"/>
        <w:ind w:left="360" w:hangingChars="1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[4] W.T. Pong, C. Durkan, J. Bendall, “</w:t>
      </w:r>
      <w:r>
        <w:rPr>
          <w:rFonts w:ascii="Times New Roman" w:hAnsi="Times New Roman" w:cs="Times New Roman"/>
          <w:bCs/>
          <w:i/>
          <w:sz w:val="24"/>
          <w:szCs w:val="24"/>
        </w:rPr>
        <w:t>Observation of Large-Scale Features on Graphite under Scanning Tunnelling Microscope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International Colloquium on Scanning Probe</w:t>
      </w:r>
      <w:r w:rsidR="00863A56">
        <w:rPr>
          <w:rFonts w:ascii="Times New Roman" w:hAnsi="Times New Roman" w:cs="Times New Roman" w:hint="eastAsia"/>
          <w:sz w:val="24"/>
          <w:lang w:eastAsia="zh-TW"/>
        </w:rPr>
        <w:t xml:space="preserve"> Micros</w:t>
      </w:r>
      <w:r>
        <w:rPr>
          <w:rFonts w:ascii="Times New Roman" w:hAnsi="Times New Roman" w:cs="Times New Roman"/>
          <w:sz w:val="24"/>
        </w:rPr>
        <w:t>copy in Shizuoka, Japan 2004.</w:t>
      </w:r>
    </w:p>
    <w:p w14:paraId="5926F29D" w14:textId="77777777" w:rsidR="00DF508B" w:rsidRDefault="00DF508B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[5] J. </w:t>
      </w:r>
      <w:proofErr w:type="spellStart"/>
      <w:r>
        <w:rPr>
          <w:rFonts w:ascii="Times New Roman" w:hAnsi="Times New Roman" w:cs="Times New Roman"/>
          <w:sz w:val="24"/>
        </w:rPr>
        <w:t>Osing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I.</w:t>
      </w:r>
      <w:proofErr w:type="gramStart"/>
      <w:r>
        <w:rPr>
          <w:rFonts w:ascii="Times New Roman" w:hAnsi="Times New Roman" w:cs="Times New Roman"/>
          <w:sz w:val="24"/>
        </w:rPr>
        <w:t>V.Shvets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Surf. Sci.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417</w:t>
      </w:r>
      <w:r>
        <w:rPr>
          <w:rFonts w:ascii="Times New Roman" w:hAnsi="Times New Roman" w:cs="Times New Roman"/>
          <w:sz w:val="24"/>
        </w:rPr>
        <w:t xml:space="preserve"> (1998) 145</w:t>
      </w:r>
    </w:p>
    <w:p w14:paraId="46365477" w14:textId="77777777" w:rsidR="00DF508B" w:rsidRDefault="00DF508B">
      <w:pPr>
        <w:pStyle w:val="HTMLPreformatted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sz w:val="24"/>
        </w:rPr>
        <w:t xml:space="preserve">[6] V. J. Cee, D. L. Patrick, T. P. Beebe Jr., </w:t>
      </w:r>
      <w:r>
        <w:rPr>
          <w:rFonts w:ascii="Times New Roman" w:hAnsi="Times New Roman" w:cs="Times New Roman"/>
          <w:i/>
          <w:sz w:val="24"/>
        </w:rPr>
        <w:t>Surf. Sci.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329</w:t>
      </w:r>
      <w:r>
        <w:rPr>
          <w:rFonts w:ascii="Times New Roman" w:hAnsi="Times New Roman" w:cs="Times New Roman"/>
          <w:sz w:val="24"/>
        </w:rPr>
        <w:t xml:space="preserve"> (1995) 141</w:t>
      </w:r>
    </w:p>
    <w:sectPr w:rsidR="00DF508B" w:rsidSect="00D26CFE">
      <w:headerReference w:type="default" r:id="rId8"/>
      <w:footerReference w:type="default" r:id="rId9"/>
      <w:pgSz w:w="11909" w:h="16834" w:code="9"/>
      <w:pgMar w:top="1135" w:right="1310" w:bottom="993" w:left="1310" w:header="426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9845" w14:textId="77777777" w:rsidR="00087A85" w:rsidRDefault="00087A85" w:rsidP="00087A85">
      <w:r>
        <w:separator/>
      </w:r>
    </w:p>
  </w:endnote>
  <w:endnote w:type="continuationSeparator" w:id="0">
    <w:p w14:paraId="4D2DB946" w14:textId="77777777" w:rsidR="00087A85" w:rsidRDefault="00087A85" w:rsidP="000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4"/>
      <w:gridCol w:w="4715"/>
    </w:tblGrid>
    <w:tr w:rsidR="00087A85" w14:paraId="0FC0419B" w14:textId="77777777" w:rsidTr="00D26CFE">
      <w:trPr>
        <w:trHeight w:hRule="exact" w:val="907"/>
      </w:trPr>
      <w:tc>
        <w:tcPr>
          <w:tcW w:w="4714" w:type="dxa"/>
        </w:tcPr>
        <w:p w14:paraId="2220BB4E" w14:textId="3DAD8718" w:rsidR="00087A85" w:rsidRDefault="00087A85">
          <w:pPr>
            <w:pStyle w:val="Footer"/>
            <w:rPr>
              <w:rFonts w:ascii="Manrope" w:hAnsi="Manrope"/>
              <w:sz w:val="20"/>
              <w:szCs w:val="20"/>
            </w:rPr>
          </w:pPr>
          <w:r w:rsidRPr="00087A85">
            <w:rPr>
              <w:rFonts w:ascii="Manrope" w:hAnsi="Manrope"/>
              <w:sz w:val="20"/>
              <w:szCs w:val="20"/>
            </w:rPr>
            <w:t xml:space="preserve">10-12 June 2026, </w:t>
          </w:r>
          <w:proofErr w:type="spellStart"/>
          <w:r w:rsidRPr="00087A85">
            <w:rPr>
              <w:rFonts w:ascii="Manrope" w:hAnsi="Manrope"/>
              <w:sz w:val="20"/>
              <w:szCs w:val="20"/>
            </w:rPr>
            <w:t>Dornbirn</w:t>
          </w:r>
          <w:proofErr w:type="spellEnd"/>
          <w:r w:rsidRPr="00087A85">
            <w:rPr>
              <w:rFonts w:ascii="Manrope" w:hAnsi="Manrope"/>
              <w:sz w:val="20"/>
              <w:szCs w:val="20"/>
            </w:rPr>
            <w:t>, Austria</w:t>
          </w:r>
        </w:p>
      </w:tc>
      <w:tc>
        <w:tcPr>
          <w:tcW w:w="4715" w:type="dxa"/>
          <w:vAlign w:val="center"/>
        </w:tcPr>
        <w:p w14:paraId="5CBE689D" w14:textId="40A4AB2F" w:rsidR="00087A85" w:rsidRDefault="00087A85" w:rsidP="00D26CFE">
          <w:pPr>
            <w:pStyle w:val="Footer"/>
            <w:jc w:val="right"/>
            <w:rPr>
              <w:rFonts w:ascii="Manrope" w:hAnsi="Manrope"/>
              <w:sz w:val="20"/>
              <w:szCs w:val="20"/>
            </w:rPr>
          </w:pPr>
          <w:r>
            <w:pict w14:anchorId="176960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77" type="#_x0000_t75" style="width:92.5pt;height:41pt">
                <v:imagedata r:id="rId1" o:title="GaAs workshop Logo 4c"/>
              </v:shape>
            </w:pict>
          </w:r>
        </w:p>
      </w:tc>
    </w:tr>
  </w:tbl>
  <w:p w14:paraId="5FF259B4" w14:textId="253C98F6" w:rsidR="00087A85" w:rsidRDefault="00087A85">
    <w:pPr>
      <w:pStyle w:val="Footer"/>
      <w:rPr>
        <w:rFonts w:ascii="Manrope" w:hAnsi="Manrope"/>
        <w:sz w:val="20"/>
        <w:szCs w:val="20"/>
      </w:rPr>
    </w:pPr>
  </w:p>
  <w:p w14:paraId="120CE1F2" w14:textId="0038A046" w:rsidR="00087A85" w:rsidRPr="00087A85" w:rsidRDefault="00087A85" w:rsidP="00087A85">
    <w:pPr>
      <w:pStyle w:val="Footer"/>
      <w:jc w:val="right"/>
      <w:rPr>
        <w:rFonts w:ascii="Manrope" w:hAnsi="Manro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B34E" w14:textId="77777777" w:rsidR="00087A85" w:rsidRDefault="00087A85" w:rsidP="00087A85">
      <w:r>
        <w:separator/>
      </w:r>
    </w:p>
  </w:footnote>
  <w:footnote w:type="continuationSeparator" w:id="0">
    <w:p w14:paraId="551C825D" w14:textId="77777777" w:rsidR="00087A85" w:rsidRDefault="00087A85" w:rsidP="000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43C9" w14:textId="0963F033" w:rsidR="00087A85" w:rsidRPr="00087A85" w:rsidRDefault="00087A85" w:rsidP="00087A85">
    <w:pPr>
      <w:pStyle w:val="Header"/>
      <w:tabs>
        <w:tab w:val="clear" w:pos="9072"/>
        <w:tab w:val="right" w:pos="92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 w15:restartNumberingAfterBreak="0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69642961">
    <w:abstractNumId w:val="0"/>
  </w:num>
  <w:num w:numId="2" w16cid:durableId="149247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771"/>
    <w:rsid w:val="00087A85"/>
    <w:rsid w:val="001D5802"/>
    <w:rsid w:val="001F263E"/>
    <w:rsid w:val="002651DA"/>
    <w:rsid w:val="00444917"/>
    <w:rsid w:val="0070163E"/>
    <w:rsid w:val="0071256A"/>
    <w:rsid w:val="00863A56"/>
    <w:rsid w:val="009C0771"/>
    <w:rsid w:val="00CF4265"/>
    <w:rsid w:val="00D26CFE"/>
    <w:rsid w:val="00D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  <w14:docId w14:val="6146DBFC"/>
  <w15:chartTrackingRefBased/>
  <w15:docId w15:val="{11FBFB05-D851-42F0-AC2A-B6747382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087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8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87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85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08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6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STROJ Sandra</cp:lastModifiedBy>
  <cp:revision>2</cp:revision>
  <cp:lastPrinted>2004-11-26T09:53:00Z</cp:lastPrinted>
  <dcterms:created xsi:type="dcterms:W3CDTF">2025-10-09T08:53:00Z</dcterms:created>
  <dcterms:modified xsi:type="dcterms:W3CDTF">2025-10-09T08:53:00Z</dcterms:modified>
</cp:coreProperties>
</file>